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bmp" ContentType="image/bmp"/>
  <Default Extension="jpg" ContentType="image/jpg"/>
  <Default Extension="emf" ContentType="image/emf"/>
  <Default Extension="wmf" ContentType="image/wmf"/>
  <Default Extension="ico" ContentType="image/ico"/>
  <Default Extension="cur" ContentType="image/cur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header1.xml" ContentType="application/vnd.openxmlformats-officedocument.wordprocessingml.header+xml"/>
  <Override PartName="/word/footer0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02" w:type="dxa"/>
        <w:jc w:val="left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3"/>
        <w:gridCol w:w="4774"/>
        <w:gridCol w:w="2557"/>
        <w:gridCol w:w="2160"/>
        <w:gridCol w:w="119"/>
      </w:tblGrid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7330" w:type="dxa"/>
            <w:noWrap/>
            <w:vAlign w:val="top"/>
            <w:gridSpan w:val="2"/>
          </w:tcPr>
          <w:p>
            <w:pPr>
              <w:spacing w:after="120" w:line="240" w:lineRule="auto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Capítol 1 Actuacions prèvies</w:t>
            </w:r>
          </w:p>
        </w:tc>
        <w:tc>
          <w:tcPr>
            <w:tcW w:w="2160" w:type="dxa"/>
            <w:noWrap/>
            <w:vAlign w:val="top"/>
          </w:tcPr>
          <w:p>
            <w:pPr>
              <w:spacing w:after="120" w:line="240" w:lineRule="auto"/>
              <w:jc w:val="right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7.311,00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noWrap/>
            <w:vAlign w:val="top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7330" w:type="dxa"/>
            <w:noWrap/>
            <w:vAlign w:val="top"/>
            <w:gridSpan w:val="2"/>
          </w:tcPr>
          <w:p>
            <w:pPr>
              <w:spacing w:after="120" w:line="240" w:lineRule="auto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Capítol 1.1 Bastides i maquinària d'elevació</w:t>
            </w:r>
          </w:p>
        </w:tc>
        <w:tc>
          <w:tcPr>
            <w:tcW w:w="2160" w:type="dxa"/>
            <w:noWrap/>
            <w:vAlign w:val="top"/>
          </w:tcPr>
          <w:p>
            <w:pPr>
              <w:spacing w:after="120" w:line="240" w:lineRule="auto"/>
              <w:jc w:val="right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5.700,00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7330" w:type="dxa"/>
            <w:noWrap/>
            <w:vAlign w:val="top"/>
            <w:gridSpan w:val="2"/>
          </w:tcPr>
          <w:p>
            <w:pPr>
              <w:spacing w:after="120" w:line="240" w:lineRule="auto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Capítol 1.2 Proteccions provisionals</w:t>
            </w:r>
          </w:p>
        </w:tc>
        <w:tc>
          <w:tcPr>
            <w:tcW w:w="2160" w:type="dxa"/>
            <w:noWrap/>
            <w:vAlign w:val="top"/>
          </w:tcPr>
          <w:p>
            <w:pPr>
              <w:spacing w:after="120" w:line="240" w:lineRule="auto"/>
              <w:jc w:val="right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1.611,00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7330" w:type="dxa"/>
            <w:noWrap/>
            <w:vAlign w:val="top"/>
            <w:gridSpan w:val="2"/>
          </w:tcPr>
          <w:p>
            <w:pPr>
              <w:spacing w:after="120" w:line="240" w:lineRule="auto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Capítol 2 Demolicions</w:t>
            </w:r>
          </w:p>
        </w:tc>
        <w:tc>
          <w:tcPr>
            <w:tcW w:w="2160" w:type="dxa"/>
            <w:noWrap/>
            <w:vAlign w:val="top"/>
          </w:tcPr>
          <w:p>
            <w:pPr>
              <w:spacing w:after="120" w:line="240" w:lineRule="auto"/>
              <w:jc w:val="right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1.317,84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7330" w:type="dxa"/>
            <w:noWrap/>
            <w:vAlign w:val="top"/>
            <w:gridSpan w:val="2"/>
          </w:tcPr>
          <w:p>
            <w:pPr>
              <w:spacing w:after="120" w:line="240" w:lineRule="auto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Capítol 3 Moviment de terres</w:t>
            </w:r>
          </w:p>
        </w:tc>
        <w:tc>
          <w:tcPr>
            <w:tcW w:w="2160" w:type="dxa"/>
            <w:noWrap/>
            <w:vAlign w:val="top"/>
          </w:tcPr>
          <w:p>
            <w:pPr>
              <w:spacing w:after="120" w:line="240" w:lineRule="auto"/>
              <w:jc w:val="right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9.925,45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7330" w:type="dxa"/>
            <w:noWrap/>
            <w:vAlign w:val="top"/>
            <w:gridSpan w:val="2"/>
          </w:tcPr>
          <w:p>
            <w:pPr>
              <w:spacing w:after="120" w:line="240" w:lineRule="auto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Capítol 3.3 Solera</w:t>
            </w:r>
          </w:p>
        </w:tc>
        <w:tc>
          <w:tcPr>
            <w:tcW w:w="2160" w:type="dxa"/>
            <w:noWrap/>
            <w:vAlign w:val="top"/>
          </w:tcPr>
          <w:p>
            <w:pPr>
              <w:spacing w:after="120" w:line="240" w:lineRule="auto"/>
              <w:jc w:val="right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9.433,60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7330" w:type="dxa"/>
            <w:noWrap/>
            <w:vAlign w:val="top"/>
            <w:gridSpan w:val="2"/>
          </w:tcPr>
          <w:p>
            <w:pPr>
              <w:spacing w:after="120" w:line="240" w:lineRule="auto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Capítol 4 Estructures</w:t>
            </w:r>
          </w:p>
        </w:tc>
        <w:tc>
          <w:tcPr>
            <w:tcW w:w="2160" w:type="dxa"/>
            <w:noWrap/>
            <w:vAlign w:val="top"/>
          </w:tcPr>
          <w:p>
            <w:pPr>
              <w:spacing w:after="120" w:line="240" w:lineRule="auto"/>
              <w:jc w:val="right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7.242,89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7330" w:type="dxa"/>
            <w:noWrap/>
            <w:vAlign w:val="top"/>
            <w:gridSpan w:val="2"/>
          </w:tcPr>
          <w:p>
            <w:pPr>
              <w:spacing w:after="120" w:line="240" w:lineRule="auto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Capítol 5 Façanes i particions</w:t>
            </w:r>
          </w:p>
        </w:tc>
        <w:tc>
          <w:tcPr>
            <w:tcW w:w="2160" w:type="dxa"/>
            <w:noWrap/>
            <w:vAlign w:val="top"/>
          </w:tcPr>
          <w:p>
            <w:pPr>
              <w:spacing w:after="120" w:line="240" w:lineRule="auto"/>
              <w:jc w:val="right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91.825,55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7330" w:type="dxa"/>
            <w:noWrap/>
            <w:vAlign w:val="top"/>
            <w:gridSpan w:val="2"/>
          </w:tcPr>
          <w:p>
            <w:pPr>
              <w:spacing w:after="120" w:line="240" w:lineRule="auto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Capítol 5.1 Façanes ETICS</w:t>
            </w:r>
          </w:p>
        </w:tc>
        <w:tc>
          <w:tcPr>
            <w:tcW w:w="2160" w:type="dxa"/>
            <w:noWrap/>
            <w:vAlign w:val="top"/>
          </w:tcPr>
          <w:p>
            <w:pPr>
              <w:spacing w:after="120" w:line="240" w:lineRule="auto"/>
              <w:jc w:val="right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47.541,77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7330" w:type="dxa"/>
            <w:noWrap/>
            <w:vAlign w:val="top"/>
            <w:gridSpan w:val="2"/>
          </w:tcPr>
          <w:p>
            <w:pPr>
              <w:spacing w:after="120" w:line="240" w:lineRule="auto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Capítol 5.2 Fàbrica</w:t>
            </w:r>
          </w:p>
        </w:tc>
        <w:tc>
          <w:tcPr>
            <w:tcW w:w="2160" w:type="dxa"/>
            <w:noWrap/>
            <w:vAlign w:val="top"/>
          </w:tcPr>
          <w:p>
            <w:pPr>
              <w:spacing w:after="120" w:line="240" w:lineRule="auto"/>
              <w:jc w:val="right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20.042,78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7330" w:type="dxa"/>
            <w:noWrap/>
            <w:vAlign w:val="top"/>
            <w:gridSpan w:val="2"/>
          </w:tcPr>
          <w:p>
            <w:pPr>
              <w:spacing w:after="120" w:line="240" w:lineRule="auto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Capítol 5.3 Guix laminat</w:t>
            </w:r>
          </w:p>
        </w:tc>
        <w:tc>
          <w:tcPr>
            <w:tcW w:w="2160" w:type="dxa"/>
            <w:noWrap/>
            <w:vAlign w:val="top"/>
          </w:tcPr>
          <w:p>
            <w:pPr>
              <w:spacing w:after="120" w:line="240" w:lineRule="auto"/>
              <w:jc w:val="right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24.241,00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7330" w:type="dxa"/>
            <w:noWrap/>
            <w:vAlign w:val="top"/>
            <w:gridSpan w:val="2"/>
          </w:tcPr>
          <w:p>
            <w:pPr>
              <w:spacing w:after="120" w:line="240" w:lineRule="auto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Capítol 6 Fusteria, manyeria, vidres i proteccions solars</w:t>
            </w:r>
          </w:p>
        </w:tc>
        <w:tc>
          <w:tcPr>
            <w:tcW w:w="2160" w:type="dxa"/>
            <w:noWrap/>
            <w:vAlign w:val="top"/>
          </w:tcPr>
          <w:p>
            <w:pPr>
              <w:spacing w:after="120" w:line="240" w:lineRule="auto"/>
              <w:jc w:val="right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28.500,90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7330" w:type="dxa"/>
            <w:noWrap/>
            <w:vAlign w:val="top"/>
            <w:gridSpan w:val="2"/>
          </w:tcPr>
          <w:p>
            <w:pPr>
              <w:spacing w:after="120" w:line="240" w:lineRule="auto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Capítol 6.1 Fusteria</w:t>
            </w:r>
          </w:p>
        </w:tc>
        <w:tc>
          <w:tcPr>
            <w:tcW w:w="2160" w:type="dxa"/>
            <w:noWrap/>
            <w:vAlign w:val="top"/>
          </w:tcPr>
          <w:p>
            <w:pPr>
              <w:spacing w:after="120" w:line="240" w:lineRule="auto"/>
              <w:jc w:val="right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25.269,23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7330" w:type="dxa"/>
            <w:noWrap/>
            <w:vAlign w:val="top"/>
            <w:gridSpan w:val="2"/>
          </w:tcPr>
          <w:p>
            <w:pPr>
              <w:spacing w:after="120" w:line="240" w:lineRule="auto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Capítol 6.2 Portes interiors</w:t>
            </w:r>
          </w:p>
        </w:tc>
        <w:tc>
          <w:tcPr>
            <w:tcW w:w="2160" w:type="dxa"/>
            <w:noWrap/>
            <w:vAlign w:val="top"/>
          </w:tcPr>
          <w:p>
            <w:pPr>
              <w:spacing w:after="120" w:line="240" w:lineRule="auto"/>
              <w:jc w:val="right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2.824,09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7330" w:type="dxa"/>
            <w:noWrap/>
            <w:vAlign w:val="top"/>
            <w:gridSpan w:val="2"/>
          </w:tcPr>
          <w:p>
            <w:pPr>
              <w:spacing w:after="120" w:line="240" w:lineRule="auto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Capítol 6.3 Portes interiors tècniques</w:t>
            </w:r>
          </w:p>
        </w:tc>
        <w:tc>
          <w:tcPr>
            <w:tcW w:w="2160" w:type="dxa"/>
            <w:noWrap/>
            <w:vAlign w:val="top"/>
          </w:tcPr>
          <w:p>
            <w:pPr>
              <w:spacing w:after="120" w:line="240" w:lineRule="auto"/>
              <w:jc w:val="right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407,58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7330" w:type="dxa"/>
            <w:noWrap/>
            <w:vAlign w:val="top"/>
            <w:gridSpan w:val="2"/>
          </w:tcPr>
          <w:p>
            <w:pPr>
              <w:spacing w:after="120" w:line="240" w:lineRule="auto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Capítol 7 Acabaments i ajudes</w:t>
            </w:r>
          </w:p>
        </w:tc>
        <w:tc>
          <w:tcPr>
            <w:tcW w:w="2160" w:type="dxa"/>
            <w:noWrap/>
            <w:vAlign w:val="top"/>
          </w:tcPr>
          <w:p>
            <w:pPr>
              <w:spacing w:after="120" w:line="240" w:lineRule="auto"/>
              <w:jc w:val="right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6.258,35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7330" w:type="dxa"/>
            <w:noWrap/>
            <w:vAlign w:val="top"/>
            <w:gridSpan w:val="2"/>
          </w:tcPr>
          <w:p>
            <w:pPr>
              <w:spacing w:after="120" w:line="240" w:lineRule="auto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Capítol 8 Instal·lacions</w:t>
            </w:r>
          </w:p>
        </w:tc>
        <w:tc>
          <w:tcPr>
            <w:tcW w:w="2160" w:type="dxa"/>
            <w:noWrap/>
            <w:vAlign w:val="top"/>
          </w:tcPr>
          <w:p>
            <w:pPr>
              <w:spacing w:after="120" w:line="240" w:lineRule="auto"/>
              <w:jc w:val="right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52.395,36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7330" w:type="dxa"/>
            <w:noWrap/>
            <w:vAlign w:val="top"/>
            <w:gridSpan w:val="2"/>
          </w:tcPr>
          <w:p>
            <w:pPr>
              <w:spacing w:after="120" w:line="240" w:lineRule="auto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Capítol 8.1 Clima</w:t>
            </w:r>
          </w:p>
        </w:tc>
        <w:tc>
          <w:tcPr>
            <w:tcW w:w="2160" w:type="dxa"/>
            <w:noWrap/>
            <w:vAlign w:val="top"/>
          </w:tcPr>
          <w:p>
            <w:pPr>
              <w:spacing w:after="120" w:line="240" w:lineRule="auto"/>
              <w:jc w:val="right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30.313,39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7330" w:type="dxa"/>
            <w:noWrap/>
            <w:vAlign w:val="top"/>
            <w:gridSpan w:val="2"/>
          </w:tcPr>
          <w:p>
            <w:pPr>
              <w:spacing w:after="120" w:line="240" w:lineRule="auto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Capítol 8.1.1 Obra Civil</w:t>
            </w:r>
          </w:p>
        </w:tc>
        <w:tc>
          <w:tcPr>
            <w:tcW w:w="2160" w:type="dxa"/>
            <w:noWrap/>
            <w:vAlign w:val="top"/>
          </w:tcPr>
          <w:p>
            <w:pPr>
              <w:spacing w:after="120" w:line="240" w:lineRule="auto"/>
              <w:jc w:val="right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894,16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7330" w:type="dxa"/>
            <w:noWrap/>
            <w:vAlign w:val="top"/>
            <w:gridSpan w:val="2"/>
          </w:tcPr>
          <w:p>
            <w:pPr>
              <w:spacing w:after="120" w:line="240" w:lineRule="auto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Capítol 8.1.2 Climatització</w:t>
            </w:r>
          </w:p>
        </w:tc>
        <w:tc>
          <w:tcPr>
            <w:tcW w:w="2160" w:type="dxa"/>
            <w:noWrap/>
            <w:vAlign w:val="top"/>
          </w:tcPr>
          <w:p>
            <w:pPr>
              <w:spacing w:after="120" w:line="240" w:lineRule="auto"/>
              <w:jc w:val="right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16.116,59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7330" w:type="dxa"/>
            <w:noWrap/>
            <w:vAlign w:val="top"/>
            <w:gridSpan w:val="2"/>
          </w:tcPr>
          <w:p>
            <w:pPr>
              <w:spacing w:after="120" w:line="240" w:lineRule="auto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Capítol 8.1.3 Ventilació</w:t>
            </w:r>
          </w:p>
        </w:tc>
        <w:tc>
          <w:tcPr>
            <w:tcW w:w="2160" w:type="dxa"/>
            <w:noWrap/>
            <w:vAlign w:val="top"/>
          </w:tcPr>
          <w:p>
            <w:pPr>
              <w:spacing w:after="120" w:line="240" w:lineRule="auto"/>
              <w:jc w:val="right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9.994,78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7330" w:type="dxa"/>
            <w:noWrap/>
            <w:vAlign w:val="top"/>
            <w:gridSpan w:val="2"/>
          </w:tcPr>
          <w:p>
            <w:pPr>
              <w:spacing w:after="120" w:line="240" w:lineRule="auto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Capítol 8.1.4 Altres</w:t>
            </w:r>
          </w:p>
        </w:tc>
        <w:tc>
          <w:tcPr>
            <w:tcW w:w="2160" w:type="dxa"/>
            <w:noWrap/>
            <w:vAlign w:val="top"/>
          </w:tcPr>
          <w:p>
            <w:pPr>
              <w:spacing w:after="120" w:line="240" w:lineRule="auto"/>
              <w:jc w:val="right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3.159,25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7330" w:type="dxa"/>
            <w:noWrap/>
            <w:vAlign w:val="top"/>
            <w:gridSpan w:val="2"/>
          </w:tcPr>
          <w:p>
            <w:pPr>
              <w:spacing w:after="120" w:line="240" w:lineRule="auto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Capítol 8.1.5 Gestió de residus</w:t>
            </w:r>
          </w:p>
        </w:tc>
        <w:tc>
          <w:tcPr>
            <w:tcW w:w="2160" w:type="dxa"/>
            <w:noWrap/>
            <w:vAlign w:val="top"/>
          </w:tcPr>
          <w:p>
            <w:pPr>
              <w:spacing w:after="120" w:line="240" w:lineRule="auto"/>
              <w:jc w:val="right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148,61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7330" w:type="dxa"/>
            <w:noWrap/>
            <w:vAlign w:val="top"/>
            <w:gridSpan w:val="2"/>
          </w:tcPr>
          <w:p>
            <w:pPr>
              <w:spacing w:after="120" w:line="240" w:lineRule="auto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Capítol 8.2 Electre i telecos</w:t>
            </w:r>
          </w:p>
        </w:tc>
        <w:tc>
          <w:tcPr>
            <w:tcW w:w="2160" w:type="dxa"/>
            <w:noWrap/>
            <w:vAlign w:val="top"/>
          </w:tcPr>
          <w:p>
            <w:pPr>
              <w:spacing w:after="120" w:line="240" w:lineRule="auto"/>
              <w:jc w:val="right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17.826,34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7330" w:type="dxa"/>
            <w:noWrap/>
            <w:vAlign w:val="top"/>
            <w:gridSpan w:val="2"/>
          </w:tcPr>
          <w:p>
            <w:pPr>
              <w:spacing w:after="120" w:line="240" w:lineRule="auto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Capítol 8.3 Aigua i sanejament</w:t>
            </w:r>
          </w:p>
        </w:tc>
        <w:tc>
          <w:tcPr>
            <w:tcW w:w="2160" w:type="dxa"/>
            <w:noWrap/>
            <w:vAlign w:val="top"/>
          </w:tcPr>
          <w:p>
            <w:pPr>
              <w:spacing w:after="120" w:line="240" w:lineRule="auto"/>
              <w:jc w:val="right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1.530,66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7330" w:type="dxa"/>
            <w:noWrap/>
            <w:vAlign w:val="top"/>
            <w:gridSpan w:val="2"/>
          </w:tcPr>
          <w:p>
            <w:pPr>
              <w:spacing w:after="120" w:line="240" w:lineRule="auto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Capítol 8.4 QUADRE ELÈCTRIC</w:t>
            </w:r>
          </w:p>
        </w:tc>
        <w:tc>
          <w:tcPr>
            <w:tcW w:w="2160" w:type="dxa"/>
            <w:noWrap/>
            <w:vAlign w:val="top"/>
          </w:tcPr>
          <w:p>
            <w:pPr>
              <w:spacing w:after="120" w:line="240" w:lineRule="auto"/>
              <w:jc w:val="right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1.441,00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7330" w:type="dxa"/>
            <w:noWrap/>
            <w:vAlign w:val="top"/>
            <w:gridSpan w:val="2"/>
          </w:tcPr>
          <w:p>
            <w:pPr>
              <w:spacing w:after="120" w:line="240" w:lineRule="auto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Capítol 8.5 COMPTADORS MEDIDORS D'ENERGIA ELÈCTRICA</w:t>
            </w:r>
          </w:p>
        </w:tc>
        <w:tc>
          <w:tcPr>
            <w:tcW w:w="2160" w:type="dxa"/>
            <w:noWrap/>
            <w:vAlign w:val="top"/>
          </w:tcPr>
          <w:p>
            <w:pPr>
              <w:spacing w:after="120" w:line="240" w:lineRule="auto"/>
              <w:jc w:val="right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925,68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7330" w:type="dxa"/>
            <w:noWrap/>
            <w:vAlign w:val="top"/>
            <w:gridSpan w:val="2"/>
          </w:tcPr>
          <w:p>
            <w:pPr>
              <w:spacing w:after="120" w:line="240" w:lineRule="auto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Capítol 8.6 BOMBA EVACUACIÓ DE CONDENSATS</w:t>
            </w:r>
          </w:p>
        </w:tc>
        <w:tc>
          <w:tcPr>
            <w:tcW w:w="2160" w:type="dxa"/>
            <w:noWrap/>
            <w:vAlign w:val="top"/>
          </w:tcPr>
          <w:p>
            <w:pPr>
              <w:spacing w:after="120" w:line="240" w:lineRule="auto"/>
              <w:jc w:val="right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114,87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7330" w:type="dxa"/>
            <w:noWrap/>
            <w:vAlign w:val="top"/>
            <w:gridSpan w:val="2"/>
          </w:tcPr>
          <w:p>
            <w:pPr>
              <w:spacing w:after="120" w:line="240" w:lineRule="auto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Capítol 8.7 Comptador d'aigua telemètric amb comunicació via LoraWAN, marca B-meter o similar</w:t>
            </w:r>
          </w:p>
        </w:tc>
        <w:tc>
          <w:tcPr>
            <w:tcW w:w="2160" w:type="dxa"/>
            <w:noWrap/>
            <w:vAlign w:val="top"/>
          </w:tcPr>
          <w:p>
            <w:pPr>
              <w:spacing w:after="120" w:line="240" w:lineRule="auto"/>
              <w:jc w:val="right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243,42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7330" w:type="dxa"/>
            <w:noWrap/>
            <w:vAlign w:val="top"/>
            <w:gridSpan w:val="2"/>
          </w:tcPr>
          <w:p>
            <w:pPr>
              <w:spacing w:after="120" w:line="240" w:lineRule="auto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Capítol 9 Aïllaments e impermeabilitzacions</w:t>
            </w:r>
          </w:p>
        </w:tc>
        <w:tc>
          <w:tcPr>
            <w:tcW w:w="2160" w:type="dxa"/>
            <w:noWrap/>
            <w:vAlign w:val="top"/>
          </w:tcPr>
          <w:p>
            <w:pPr>
              <w:spacing w:after="120" w:line="240" w:lineRule="auto"/>
              <w:jc w:val="right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948,30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7330" w:type="dxa"/>
            <w:noWrap/>
            <w:vAlign w:val="top"/>
            <w:gridSpan w:val="2"/>
          </w:tcPr>
          <w:p>
            <w:pPr>
              <w:spacing w:after="120" w:line="240" w:lineRule="auto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Capítol 10 Cobertes</w:t>
            </w:r>
          </w:p>
        </w:tc>
        <w:tc>
          <w:tcPr>
            <w:tcW w:w="2160" w:type="dxa"/>
            <w:noWrap/>
            <w:vAlign w:val="top"/>
          </w:tcPr>
          <w:p>
            <w:pPr>
              <w:spacing w:after="120" w:line="240" w:lineRule="auto"/>
              <w:jc w:val="right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26.316,53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7330" w:type="dxa"/>
            <w:noWrap/>
            <w:vAlign w:val="top"/>
            <w:gridSpan w:val="2"/>
          </w:tcPr>
          <w:p>
            <w:pPr>
              <w:spacing w:after="120" w:line="240" w:lineRule="auto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Capítol 11 Revestiments i extradossats</w:t>
            </w:r>
          </w:p>
        </w:tc>
        <w:tc>
          <w:tcPr>
            <w:tcW w:w="2160" w:type="dxa"/>
            <w:noWrap/>
            <w:vAlign w:val="top"/>
          </w:tcPr>
          <w:p>
            <w:pPr>
              <w:spacing w:after="120" w:line="240" w:lineRule="auto"/>
              <w:jc w:val="right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28.847,16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7330" w:type="dxa"/>
            <w:noWrap/>
            <w:vAlign w:val="top"/>
            <w:gridSpan w:val="2"/>
          </w:tcPr>
          <w:p>
            <w:pPr>
              <w:spacing w:after="120" w:line="240" w:lineRule="auto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Capítol 11.1 Revestiments</w:t>
            </w:r>
          </w:p>
        </w:tc>
        <w:tc>
          <w:tcPr>
            <w:tcW w:w="2160" w:type="dxa"/>
            <w:noWrap/>
            <w:vAlign w:val="top"/>
          </w:tcPr>
          <w:p>
            <w:pPr>
              <w:spacing w:after="120" w:line="240" w:lineRule="auto"/>
              <w:jc w:val="right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10.495,24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7330" w:type="dxa"/>
            <w:noWrap/>
            <w:vAlign w:val="top"/>
            <w:gridSpan w:val="2"/>
          </w:tcPr>
          <w:p>
            <w:pPr>
              <w:spacing w:after="120" w:line="240" w:lineRule="auto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Capítol 11.2 Pintures en paraments interiors</w:t>
            </w:r>
          </w:p>
        </w:tc>
        <w:tc>
          <w:tcPr>
            <w:tcW w:w="2160" w:type="dxa"/>
            <w:noWrap/>
            <w:vAlign w:val="top"/>
          </w:tcPr>
          <w:p>
            <w:pPr>
              <w:spacing w:after="120" w:line="240" w:lineRule="auto"/>
              <w:jc w:val="right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2.016,16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7330" w:type="dxa"/>
            <w:noWrap/>
            <w:vAlign w:val="top"/>
            <w:gridSpan w:val="2"/>
          </w:tcPr>
          <w:p>
            <w:pPr>
              <w:spacing w:after="120" w:line="240" w:lineRule="auto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Capítol 11.3 Paviments</w:t>
            </w:r>
          </w:p>
        </w:tc>
        <w:tc>
          <w:tcPr>
            <w:tcW w:w="2160" w:type="dxa"/>
            <w:noWrap/>
            <w:vAlign w:val="top"/>
          </w:tcPr>
          <w:p>
            <w:pPr>
              <w:spacing w:after="120" w:line="240" w:lineRule="auto"/>
              <w:jc w:val="right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16.335,76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7330" w:type="dxa"/>
            <w:noWrap/>
            <w:vAlign w:val="top"/>
            <w:gridSpan w:val="2"/>
          </w:tcPr>
          <w:p>
            <w:pPr>
              <w:spacing w:after="120" w:line="240" w:lineRule="auto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Capítol 12 Equipament</w:t>
            </w:r>
          </w:p>
        </w:tc>
        <w:tc>
          <w:tcPr>
            <w:tcW w:w="2160" w:type="dxa"/>
            <w:noWrap/>
            <w:vAlign w:val="top"/>
          </w:tcPr>
          <w:p>
            <w:pPr>
              <w:spacing w:after="120" w:line="240" w:lineRule="auto"/>
              <w:jc w:val="right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11.850,41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7330" w:type="dxa"/>
            <w:noWrap/>
            <w:vAlign w:val="top"/>
            <w:gridSpan w:val="2"/>
          </w:tcPr>
          <w:p>
            <w:pPr>
              <w:spacing w:after="120" w:line="240" w:lineRule="auto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Capítol 12.1 Equipament</w:t>
            </w:r>
          </w:p>
        </w:tc>
        <w:tc>
          <w:tcPr>
            <w:tcW w:w="2160" w:type="dxa"/>
            <w:noWrap/>
            <w:vAlign w:val="top"/>
          </w:tcPr>
          <w:p>
            <w:pPr>
              <w:spacing w:after="120" w:line="240" w:lineRule="auto"/>
              <w:jc w:val="right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947,90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7330" w:type="dxa"/>
            <w:noWrap/>
            <w:vAlign w:val="top"/>
            <w:gridSpan w:val="2"/>
          </w:tcPr>
          <w:p>
            <w:pPr>
              <w:spacing w:after="120" w:line="240" w:lineRule="auto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Capítol 12.2 Aparells sanitaris adaptats</w:t>
            </w:r>
          </w:p>
        </w:tc>
        <w:tc>
          <w:tcPr>
            <w:tcW w:w="2160" w:type="dxa"/>
            <w:noWrap/>
            <w:vAlign w:val="top"/>
          </w:tcPr>
          <w:p>
            <w:pPr>
              <w:spacing w:after="120" w:line="240" w:lineRule="auto"/>
              <w:jc w:val="right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4.556,80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7330" w:type="dxa"/>
            <w:noWrap/>
            <w:vAlign w:val="top"/>
            <w:gridSpan w:val="2"/>
          </w:tcPr>
          <w:p>
            <w:pPr>
              <w:spacing w:after="120" w:line="240" w:lineRule="auto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Capítol 12.3 Il·luminació</w:t>
            </w:r>
          </w:p>
        </w:tc>
        <w:tc>
          <w:tcPr>
            <w:tcW w:w="2160" w:type="dxa"/>
            <w:noWrap/>
            <w:vAlign w:val="top"/>
          </w:tcPr>
          <w:p>
            <w:pPr>
              <w:spacing w:after="120" w:line="240" w:lineRule="auto"/>
              <w:jc w:val="right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6.345,71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7330" w:type="dxa"/>
            <w:noWrap/>
            <w:vAlign w:val="top"/>
            <w:gridSpan w:val="2"/>
          </w:tcPr>
          <w:p>
            <w:pPr>
              <w:spacing w:after="120" w:line="240" w:lineRule="auto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Capítol 13 Urbanització interior de la parcel·la</w:t>
            </w:r>
          </w:p>
        </w:tc>
        <w:tc>
          <w:tcPr>
            <w:tcW w:w="2160" w:type="dxa"/>
            <w:noWrap/>
            <w:vAlign w:val="top"/>
          </w:tcPr>
          <w:p>
            <w:pPr>
              <w:spacing w:after="120" w:line="240" w:lineRule="auto"/>
              <w:jc w:val="right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12.361,06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7330" w:type="dxa"/>
            <w:noWrap/>
            <w:vAlign w:val="top"/>
            <w:gridSpan w:val="2"/>
          </w:tcPr>
          <w:p>
            <w:pPr>
              <w:spacing w:after="120" w:line="240" w:lineRule="auto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Capítol 13.1 Pluvials</w:t>
            </w:r>
          </w:p>
        </w:tc>
        <w:tc>
          <w:tcPr>
            <w:tcW w:w="2160" w:type="dxa"/>
            <w:noWrap/>
            <w:vAlign w:val="top"/>
          </w:tcPr>
          <w:p>
            <w:pPr>
              <w:spacing w:after="120" w:line="240" w:lineRule="auto"/>
              <w:jc w:val="right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2.378,36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7330" w:type="dxa"/>
            <w:noWrap/>
            <w:vAlign w:val="top"/>
            <w:gridSpan w:val="2"/>
          </w:tcPr>
          <w:p>
            <w:pPr>
              <w:spacing w:after="120" w:line="240" w:lineRule="auto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Capítol 13.2 Jardineria</w:t>
            </w:r>
          </w:p>
        </w:tc>
        <w:tc>
          <w:tcPr>
            <w:tcW w:w="2160" w:type="dxa"/>
            <w:noWrap/>
            <w:vAlign w:val="top"/>
          </w:tcPr>
          <w:p>
            <w:pPr>
              <w:spacing w:after="120" w:line="240" w:lineRule="auto"/>
              <w:jc w:val="right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5.573,54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7330" w:type="dxa"/>
            <w:noWrap/>
            <w:vAlign w:val="top"/>
            <w:gridSpan w:val="2"/>
          </w:tcPr>
          <w:p>
            <w:pPr>
              <w:spacing w:after="120" w:line="240" w:lineRule="auto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Capítol 13.3 Paviments exteriors</w:t>
            </w:r>
          </w:p>
        </w:tc>
        <w:tc>
          <w:tcPr>
            <w:tcW w:w="2160" w:type="dxa"/>
            <w:noWrap/>
            <w:vAlign w:val="top"/>
          </w:tcPr>
          <w:p>
            <w:pPr>
              <w:spacing w:after="120" w:line="240" w:lineRule="auto"/>
              <w:jc w:val="right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4.409,16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7330" w:type="dxa"/>
            <w:noWrap/>
            <w:vAlign w:val="top"/>
            <w:gridSpan w:val="2"/>
          </w:tcPr>
          <w:p>
            <w:pPr>
              <w:spacing w:after="120" w:line="240" w:lineRule="auto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Capítol 14 Gestió de residus</w:t>
            </w:r>
          </w:p>
        </w:tc>
        <w:tc>
          <w:tcPr>
            <w:tcW w:w="2160" w:type="dxa"/>
            <w:noWrap/>
            <w:vAlign w:val="top"/>
          </w:tcPr>
          <w:p>
            <w:pPr>
              <w:spacing w:after="120" w:line="240" w:lineRule="auto"/>
              <w:jc w:val="right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2.500,00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7330" w:type="dxa"/>
            <w:noWrap/>
            <w:vAlign w:val="top"/>
            <w:gridSpan w:val="2"/>
          </w:tcPr>
          <w:p>
            <w:pPr>
              <w:spacing w:after="120" w:line="240" w:lineRule="auto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Capítol 15 Control de qualitat i assaigs</w:t>
            </w:r>
          </w:p>
        </w:tc>
        <w:tc>
          <w:tcPr>
            <w:tcW w:w="2160" w:type="dxa"/>
            <w:noWrap/>
            <w:vAlign w:val="top"/>
          </w:tcPr>
          <w:p>
            <w:pPr>
              <w:spacing w:after="120" w:line="240" w:lineRule="auto"/>
              <w:jc w:val="right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1.000,00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7330" w:type="dxa"/>
            <w:tcBorders>
              <w:bottom w:val="single" w:sz="2" w:space="0" w:color="000000"/>
            </w:tcBorders>
            <w:noWrap/>
            <w:vAlign w:val="top"/>
            <w:gridSpan w:val="2"/>
          </w:tcPr>
          <w:p>
            <w:pPr>
              <w:spacing w:after="120" w:line="240" w:lineRule="auto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Capítol 16 Seguretat i salut</w:t>
            </w:r>
          </w:p>
        </w:tc>
        <w:tc>
          <w:tcPr>
            <w:tcW w:w="2160" w:type="dxa"/>
            <w:tcBorders>
              <w:bottom w:val="single" w:sz="2" w:space="0" w:color="000000"/>
            </w:tcBorders>
            <w:noWrap/>
            <w:vAlign w:val="top"/>
          </w:tcPr>
          <w:p>
            <w:pPr>
              <w:spacing w:after="120" w:line="240" w:lineRule="auto"/>
              <w:jc w:val="right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2.500,00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7330" w:type="dxa"/>
            <w:tcBorders>
              <w:top w:val="single" w:sz="2" w:space="0" w:color="000000"/>
            </w:tcBorders>
            <w:noWrap/>
            <w:vAlign w:val="top"/>
            <w:gridSpan w:val="2"/>
          </w:tcPr>
          <w:p>
            <w:pPr>
              <w:spacing w:after="120" w:line="240" w:lineRule="auto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Pressupost d'execució material</w:t>
            </w:r>
          </w:p>
        </w:tc>
        <w:tc>
          <w:tcPr>
            <w:tcW w:w="2160" w:type="dxa"/>
            <w:tcBorders>
              <w:top w:val="single" w:sz="2" w:space="0" w:color="000000"/>
            </w:tcBorders>
            <w:noWrap/>
            <w:vAlign w:val="top"/>
          </w:tcPr>
          <w:p>
            <w:pPr>
              <w:spacing w:after="120" w:line="240" w:lineRule="auto"/>
              <w:jc w:val="right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291.100,80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7330" w:type="dxa"/>
            <w:noWrap/>
            <w:vAlign w:val="top"/>
            <w:gridSpan w:val="2"/>
          </w:tcPr>
          <w:p>
            <w:pPr>
              <w:spacing w:after="120" w:line="240" w:lineRule="auto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13% de despeses generals</w:t>
            </w:r>
          </w:p>
        </w:tc>
        <w:tc>
          <w:tcPr>
            <w:tcW w:w="2160" w:type="dxa"/>
            <w:noWrap/>
            <w:vAlign w:val="top"/>
          </w:tcPr>
          <w:p>
            <w:pPr>
              <w:spacing w:after="120" w:line="240" w:lineRule="auto"/>
              <w:jc w:val="right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37.843,10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7330" w:type="dxa"/>
            <w:noWrap/>
            <w:vAlign w:val="top"/>
            <w:gridSpan w:val="2"/>
          </w:tcPr>
          <w:p>
            <w:pPr>
              <w:spacing w:after="120" w:line="240" w:lineRule="auto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6% de benefici industrial</w:t>
            </w:r>
          </w:p>
        </w:tc>
        <w:tc>
          <w:tcPr>
            <w:tcW w:w="2160" w:type="dxa"/>
            <w:tcBorders>
              <w:bottom w:val="single" w:sz="2" w:space="0" w:color="000000"/>
            </w:tcBorders>
            <w:noWrap/>
            <w:vAlign w:val="top"/>
          </w:tcPr>
          <w:p>
            <w:pPr>
              <w:spacing w:after="120" w:line="240" w:lineRule="auto"/>
              <w:jc w:val="right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17.466,05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7330" w:type="dxa"/>
            <w:noWrap/>
            <w:vAlign w:val="top"/>
            <w:gridSpan w:val="2"/>
          </w:tcPr>
          <w:p>
            <w:pPr>
              <w:spacing w:after="120" w:line="240" w:lineRule="auto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Suma</w:t>
            </w:r>
          </w:p>
        </w:tc>
        <w:tc>
          <w:tcPr>
            <w:tcW w:w="2160" w:type="dxa"/>
            <w:tcBorders>
              <w:top w:val="single" w:sz="2" w:space="0" w:color="000000"/>
            </w:tcBorders>
            <w:noWrap/>
            <w:vAlign w:val="top"/>
          </w:tcPr>
          <w:p>
            <w:pPr>
              <w:spacing w:after="120" w:line="240" w:lineRule="auto"/>
              <w:jc w:val="right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346.409,95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7330" w:type="dxa"/>
            <w:tcBorders>
              <w:bottom w:val="single" w:sz="2" w:space="0" w:color="000000"/>
            </w:tcBorders>
            <w:noWrap/>
            <w:vAlign w:val="top"/>
            <w:gridSpan w:val="2"/>
          </w:tcPr>
          <w:p>
            <w:pPr>
              <w:spacing w:after="120" w:line="240" w:lineRule="auto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21% IVA</w:t>
            </w:r>
          </w:p>
        </w:tc>
        <w:tc>
          <w:tcPr>
            <w:tcW w:w="2160" w:type="dxa"/>
            <w:tcBorders>
              <w:bottom w:val="single" w:sz="2" w:space="0" w:color="000000"/>
            </w:tcBorders>
            <w:noWrap/>
            <w:vAlign w:val="top"/>
          </w:tcPr>
          <w:p>
            <w:pPr>
              <w:spacing w:after="120" w:line="240" w:lineRule="auto"/>
              <w:jc w:val="right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72.746,09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7330" w:type="dxa"/>
            <w:tcBorders>
              <w:top w:val="single" w:sz="2" w:space="0" w:color="000000"/>
            </w:tcBorders>
            <w:noWrap/>
            <w:vAlign w:val="top"/>
            <w:gridSpan w:val="2"/>
          </w:tcPr>
          <w:p>
            <w:pPr>
              <w:spacing w:after="120" w:line="240" w:lineRule="auto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Pressupost d'execució per contracta</w:t>
            </w:r>
          </w:p>
        </w:tc>
        <w:tc>
          <w:tcPr>
            <w:tcW w:w="2160" w:type="dxa"/>
            <w:tcBorders>
              <w:top w:val="single" w:sz="2" w:space="0" w:color="000000"/>
            </w:tcBorders>
            <w:noWrap/>
            <w:vAlign w:val="top"/>
          </w:tcPr>
          <w:p>
            <w:pPr>
              <w:spacing w:after="120" w:line="240" w:lineRule="auto"/>
              <w:jc w:val="right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419.156,04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noWrap/>
            <w:vAlign w:val="top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4774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255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2160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9490" w:type="dxa"/>
            <w:vAlign w:val="top"/>
            <w:gridSpan w:val="3"/>
          </w:tcPr>
          <w:p>
            <w:pPr>
              <w:spacing w:after="0" w:line="240" w:lineRule="auto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Puja el pressupost d'execució per contracta a l'expressada quantitat de QUATRE-CENTS DINOU MIL CENT  CINQUANTA-SIS EUROS AMB QUATRE CÈNTIMS.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noWrap/>
            <w:vAlign w:val="top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4774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255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2160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  <w:tr>
        <w:trPr>
          <w:cantSplit/>
        </w:trPr>
        <w:tc>
          <w:tcPr>
            <w:tcW w:w="193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  <w:tc>
          <w:tcPr>
            <w:tcW w:w="4774" w:type="dxa"/>
            <w:vAlign w:val="top"/>
          </w:tcPr>
          <w:p>
            <w:pPr>
              <w:spacing w:after="0" w:line="240" w:lineRule="auto"/>
              <w:jc w:val="center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 </w:t>
            </w:r>
          </w:p>
        </w:tc>
        <w:tc>
          <w:tcPr>
            <w:tcW w:w="4717" w:type="dxa"/>
            <w:vAlign w:val="top"/>
            <w:gridSpan w:val="2"/>
          </w:tcPr>
          <w:p>
            <w:pPr>
              <w:spacing w:after="0" w:line="240" w:lineRule="auto"/>
              <w:jc w:val="center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 xml:space="preserve"> </w:t>
            </w:r>
          </w:p>
        </w:tc>
        <w:tc>
          <w:tcPr>
            <w:tcW w:w="119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24"/>
              </w:rPr>
            </w:pPr>
            <w:r>
              <w:rPr>
                <w:rFonts w:ascii="Verdana" w:hAnsi="Verdana" w:cs="Verdana"/>
                <w:sz w:val="24"/>
              </w:rPr>
              <w:t xml:space="preserve"> </w:t>
            </w:r>
          </w:p>
        </w:tc>
      </w:tr>
    </w:tbl>
    <w:p>
      <w:pPr>
        <w:spacing w:after="0" w:line="2" w:lineRule="auto"/>
      </w:pPr>
    </w:p>
    <w:sectPr>
      <w:headerReference w:type="default" r:id="header1"/>
      <w:footerReference w:type="default" r:id="footer0"/>
      <w:pgSz w:w="11906" w:h="16838" w:orient="portrait"/>
      <w:pgMar w:top="907" w:left="907" w:bottom="907" w:right="907" w:header="907" w:footer="907" w:gutter="283"/>
      <w:cols w:space="708"/>
      <w:docGrid w:linePitch="360"/>
    </w:sectPr>
    <w:sectPr>
      <w:pgSz w:w="11906" w:h="16838" w:orient="portrait"/>
      <w:pgMar w:top="907" w:left="907" w:bottom="907" w:right="907" w:header="907" w:footer="907" w:gutter="28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footer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02" w:type="dxa"/>
      <w:jc w:val="left"/>
      <w:tblCellMar>
        <w:top w:w="28" w:type="dxa"/>
        <w:left w:w="28" w:type="dxa"/>
        <w:bottom w:w="28" w:type="dxa"/>
        <w:right w:w="28" w:type="dxa"/>
      </w:tblCellMar>
      <w:tblLook w:val="0000"/>
    </w:tblPr>
    <w:tblGrid>
      <w:gridCol w:w="193"/>
      <w:gridCol w:w="4774"/>
      <w:gridCol w:w="2557"/>
      <w:gridCol w:w="2160"/>
      <w:gridCol w:w="119"/>
    </w:tblGrid>
    <w:tr>
      <w:trPr>
        <w:cantSplit/>
      </w:trPr>
      <w:tc>
        <w:tcPr>
          <w:tcW w:w="193" w:type="dxa"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>
          <w:pPr>
            <w:spacing w:after="0" w:line="240" w:lineRule="auto"/>
            <w:rPr>
              <w:rFonts w:ascii="Verdana" w:hAnsi="Verdana" w:cs="Verdana"/>
              <w:sz w:val="18"/>
            </w:rPr>
          </w:pPr>
          <w:r>
            <w:rPr>
              <w:rFonts w:ascii="Verdana" w:hAnsi="Verdana" w:cs="Verdana"/>
              <w:sz w:val="18"/>
            </w:rPr>
            <w:t xml:space="preserve"> </w:t>
          </w:r>
        </w:p>
      </w:tc>
      <w:tc>
        <w:tcPr>
          <w:tcW w:w="9490" w:type="dxa"/>
          <w:noWrap/>
          <w:vAlign w:val="top"/>
          <w:gridSpan w:val="3"/>
        </w:tcPr>
        <w:p>
          <w:pPr>
            <w:spacing w:after="120" w:line="240" w:lineRule="auto"/>
            <w:rPr>
              <w:rFonts w:ascii="Courier New" w:hAnsi="Courier New" w:cs="Courier New"/>
              <w:sz w:val="16"/>
            </w:rPr>
          </w:pPr>
          <w:r>
            <w:rPr>
              <w:rFonts w:ascii="Courier New" w:hAnsi="Courier New" w:cs="Courier New"/>
              <w:sz w:val="16"/>
            </w:rPr>
            <w:t xml:space="preserve">Projecte: AMPLIACIÓ TANATORI</w:t>
          </w:r>
        </w:p>
      </w:tc>
      <w:tc>
        <w:tcPr>
          <w:tcW w:w="119" w:type="dxa"/>
          <w:tcMar>
            <w:top w:w="17" w:type="dxa"/>
            <w:left w:w="6" w:type="dxa"/>
            <w:bottom w:w="23" w:type="dxa"/>
            <w:right w:w="11" w:type="dxa"/>
          </w:tcMar>
          <w:noWrap/>
          <w:vAlign w:val="top"/>
        </w:tcPr>
        <w:p>
          <w:pPr>
            <w:spacing w:after="0" w:line="240" w:lineRule="auto"/>
            <w:rPr>
              <w:rFonts w:ascii="Verdana" w:hAnsi="Verdana" w:cs="Verdana"/>
              <w:sz w:val="18"/>
            </w:rPr>
          </w:pPr>
          <w:r>
            <w:rPr>
              <w:rFonts w:ascii="Verdana" w:hAnsi="Verdana" w:cs="Verdana"/>
              <w:sz w:val="18"/>
            </w:rPr>
            <w:t xml:space="preserve"> </w:t>
          </w:r>
        </w:p>
      </w:tc>
    </w:tr>
    <w:tr>
      <w:trPr>
        <w:cantSplit/>
      </w:trPr>
      <w:tc>
        <w:tcPr>
          <w:tcW w:w="193" w:type="dxa"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>
          <w:pPr>
            <w:spacing w:after="0" w:line="240" w:lineRule="auto"/>
            <w:rPr>
              <w:rFonts w:ascii="Verdana" w:hAnsi="Verdana" w:cs="Verdana"/>
              <w:sz w:val="18"/>
            </w:rPr>
          </w:pPr>
          <w:r>
            <w:rPr>
              <w:rFonts w:ascii="Verdana" w:hAnsi="Verdana" w:cs="Verdana"/>
              <w:sz w:val="18"/>
            </w:rPr>
            <w:t xml:space="preserve"> </w:t>
          </w:r>
        </w:p>
      </w:tc>
      <w:tc>
        <w:tcPr>
          <w:tcW w:w="7330" w:type="dxa"/>
          <w:tcBorders>
            <w:bottom w:val="single" w:sz="2" w:space="0" w:color="000000"/>
          </w:tcBorders>
          <w:noWrap/>
          <w:vAlign w:val="top"/>
          <w:gridSpan w:val="2"/>
        </w:tcPr>
        <w:p>
          <w:pPr>
            <w:spacing w:after="120" w:line="240" w:lineRule="auto"/>
            <w:rPr>
              <w:rFonts w:ascii="Courier New" w:hAnsi="Courier New" w:cs="Courier New"/>
              <w:sz w:val="20"/>
              <w:b/>
            </w:rPr>
          </w:pPr>
          <w:r>
            <w:rPr>
              <w:rFonts w:ascii="Courier New" w:hAnsi="Courier New" w:cs="Courier New"/>
              <w:sz w:val="20"/>
              <w:b/>
            </w:rPr>
            <w:t xml:space="preserve">Capítol</w:t>
          </w:r>
        </w:p>
      </w:tc>
      <w:tc>
        <w:tcPr>
          <w:tcW w:w="2160" w:type="dxa"/>
          <w:tcBorders>
            <w:bottom w:val="single" w:sz="2" w:space="0" w:color="000000"/>
          </w:tcBorders>
          <w:noWrap/>
          <w:vAlign w:val="top"/>
        </w:tcPr>
        <w:p>
          <w:pPr>
            <w:spacing w:after="120" w:line="240" w:lineRule="auto"/>
            <w:jc w:val="right"/>
            <w:rPr>
              <w:rFonts w:ascii="Courier New" w:hAnsi="Courier New" w:cs="Courier New"/>
              <w:sz w:val="20"/>
              <w:b/>
            </w:rPr>
          </w:pPr>
          <w:r>
            <w:rPr>
              <w:rFonts w:ascii="Courier New" w:hAnsi="Courier New" w:cs="Courier New"/>
              <w:sz w:val="20"/>
              <w:b/>
            </w:rPr>
            <w:t xml:space="preserve">Import</w:t>
          </w:r>
        </w:p>
      </w:tc>
      <w:tc>
        <w:tcPr>
          <w:tcW w:w="119" w:type="dxa"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>
          <w:pPr>
            <w:spacing w:after="0" w:line="240" w:lineRule="auto"/>
            <w:rPr>
              <w:rFonts w:ascii="Verdana" w:hAnsi="Verdana" w:cs="Verdana"/>
              <w:sz w:val="18"/>
            </w:rPr>
          </w:pPr>
          <w:r>
            <w:rPr>
              <w:rFonts w:ascii="Verdana" w:hAnsi="Verdana" w:cs="Verdana"/>
              <w:sz w:val="18"/>
            </w:rPr>
            <w:t xml:space="preserve"> </w:t>
          </w:r>
        </w:p>
      </w:tc>
    </w:tr>
  </w:tbl>
  <w:p>
    <w:pPr>
      <w:spacing w:after="0" w:line="2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Normal">
    <w:name w:val="Normal"/>
    <w:qFormat/>
    <w:rsid w:val="00174D7E"/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header0" Type="http://schemas.openxmlformats.org/officeDocument/2006/relationships/header" Target="header0.xml"/><Relationship Id="header1" Type="http://schemas.openxmlformats.org/officeDocument/2006/relationships/header" Target="header1.xml"/><Relationship Id="footer0" Type="http://schemas.openxmlformats.org/officeDocument/2006/relationships/footer" Target="footer0.xml"/></Relationships>
</file>

<file path=word/_rels/footer0.xml.rels><?xml version="1.0" encoding="utf-8" standalone="yes"?>
<Relationships xmlns="http://schemas.openxmlformats.org/package/2006/relationships"></Relationships>
</file>

<file path=word/_rels/header0.xml.rels><?xml version="1.0" encoding="utf-8" standalone="yes"?>
<Relationships xmlns="http://schemas.openxmlformats.org/package/2006/relationships"></Relationships>
</file>

<file path=word/_rels/header1.xml.rels><?xml version="1.0" encoding="utf-8" standalone="yes"?>
<Relationships xmlns="http://schemas.openxmlformats.org/package/2006/relationships"></Relationships>
</file>